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69279B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69279B">
        <w:rPr>
          <w:rFonts w:ascii="PT Astra Serif" w:hAnsi="PT Astra Serif"/>
          <w:sz w:val="27"/>
          <w:szCs w:val="27"/>
        </w:rPr>
        <w:t>р.п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69279B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69279B" w:rsidRPr="0069279B">
        <w:rPr>
          <w:rFonts w:ascii="PT Astra Serif" w:hAnsi="PT Astra Serif"/>
          <w:b/>
          <w:bCs/>
          <w:sz w:val="27"/>
          <w:szCs w:val="27"/>
        </w:rPr>
        <w:t>1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69279B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69279B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69279B" w:rsidRPr="0069279B">
        <w:rPr>
          <w:rFonts w:ascii="PT Astra Serif" w:hAnsi="PT Astra Serif"/>
          <w:b/>
          <w:bCs/>
          <w:sz w:val="27"/>
          <w:szCs w:val="27"/>
        </w:rPr>
        <w:t xml:space="preserve"> 26.01.2022</w:t>
      </w: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69279B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2B18C2" w:rsidRPr="0069279B" w:rsidRDefault="002B18C2" w:rsidP="00EC0B70">
      <w:pPr>
        <w:pStyle w:val="ConsPlusNormal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bookmarkStart w:id="0" w:name="_GoBack"/>
      <w:bookmarkEnd w:id="0"/>
      <w:proofErr w:type="gramStart"/>
      <w:r w:rsidRPr="0069279B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решения Совета депутатов муниципального образования «Новомайнское городское поселение» Мелекесского района Ульяновской области </w:t>
      </w:r>
      <w:r w:rsidR="0069279B" w:rsidRPr="0069279B">
        <w:rPr>
          <w:rFonts w:ascii="PT Astra Serif" w:hAnsi="PT Astra Serif" w:cs="Times New Roman"/>
          <w:sz w:val="27"/>
          <w:szCs w:val="27"/>
        </w:rPr>
        <w:t>«Об установлении платы за пользование жилым помещением для нанимателей жилого помещения, занимаемого по договору социального найма или договору найма жилого помещения государственного и муниципального жилищного фонда муниципального образования «Новомайнское городское поселение» Мелекесского района Ульяновской области»</w:t>
      </w:r>
      <w:r w:rsidR="0069279B">
        <w:rPr>
          <w:rFonts w:ascii="PT Astra Serif" w:hAnsi="PT Astra Serif" w:cs="Times New Roman"/>
          <w:sz w:val="27"/>
          <w:szCs w:val="27"/>
        </w:rPr>
        <w:t xml:space="preserve"> </w:t>
      </w:r>
      <w:r w:rsidRPr="0069279B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69279B">
        <w:rPr>
          <w:rFonts w:ascii="PT Astra Serif" w:hAnsi="PT Astra Serif"/>
          <w:bCs/>
          <w:sz w:val="27"/>
          <w:szCs w:val="27"/>
        </w:rPr>
        <w:tab/>
        <w:t>Проект подготовлен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69279B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69279B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69279B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proofErr w:type="gramStart"/>
      <w:r w:rsidRPr="0069279B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69279B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69279B" w:rsidRPr="0069279B" w:rsidRDefault="002B18C2" w:rsidP="0069279B">
      <w:pPr>
        <w:pStyle w:val="ConsPlusNormal"/>
        <w:ind w:firstLine="360"/>
        <w:jc w:val="both"/>
        <w:rPr>
          <w:rFonts w:ascii="PT Astra Serif" w:hAnsi="PT Astra Serif"/>
          <w:sz w:val="27"/>
          <w:szCs w:val="27"/>
          <w:lang w:eastAsia="ru-RU"/>
        </w:rPr>
      </w:pPr>
      <w:r w:rsidRPr="0069279B">
        <w:rPr>
          <w:rFonts w:ascii="PT Astra Serif" w:hAnsi="PT Astra Serif"/>
          <w:bCs/>
          <w:sz w:val="27"/>
          <w:szCs w:val="27"/>
        </w:rPr>
        <w:tab/>
        <w:t xml:space="preserve">Проектом предполагается </w:t>
      </w:r>
      <w:r w:rsidRPr="0069279B">
        <w:rPr>
          <w:rFonts w:ascii="PT Astra Serif" w:hAnsi="PT Astra Serif" w:cs="Times New Roman"/>
          <w:sz w:val="27"/>
          <w:szCs w:val="27"/>
        </w:rPr>
        <w:t xml:space="preserve">рассмотреть проект нормативного правового акта </w:t>
      </w:r>
      <w:r w:rsidR="0069279B" w:rsidRPr="0069279B">
        <w:rPr>
          <w:rFonts w:ascii="PT Astra Serif" w:hAnsi="PT Astra Serif" w:cs="Times New Roman"/>
          <w:sz w:val="27"/>
          <w:szCs w:val="27"/>
        </w:rPr>
        <w:t>«Об установлении платы за пользование жилым помещением для нанимателей жилого помещения, занимаемого по договору социального найма или договору найма жилого помещения государственного и муниципального жилищного фонда муниципального образования «Новомайнское городское поселение» Мелекесского района Ульяновской области»</w:t>
      </w:r>
      <w:r w:rsidR="00E2740E" w:rsidRPr="0069279B">
        <w:rPr>
          <w:rFonts w:ascii="PT Astra Serif" w:hAnsi="PT Astra Serif" w:cs="Times New Roman"/>
          <w:sz w:val="27"/>
          <w:szCs w:val="27"/>
          <w:lang w:eastAsia="ru-RU"/>
        </w:rPr>
        <w:t xml:space="preserve">. </w:t>
      </w:r>
      <w:r w:rsidRPr="0069279B">
        <w:rPr>
          <w:rFonts w:ascii="PT Astra Serif" w:hAnsi="PT Astra Serif"/>
          <w:sz w:val="27"/>
          <w:szCs w:val="27"/>
        </w:rPr>
        <w:t xml:space="preserve">Проект разработан </w:t>
      </w:r>
      <w:r w:rsidR="007A7ED6" w:rsidRPr="0069279B">
        <w:rPr>
          <w:rFonts w:ascii="PT Astra Serif" w:hAnsi="PT Astra Serif"/>
          <w:sz w:val="27"/>
          <w:szCs w:val="27"/>
        </w:rPr>
        <w:t xml:space="preserve"> </w:t>
      </w:r>
      <w:r w:rsidR="00E2740E" w:rsidRPr="0069279B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в соответствии </w:t>
      </w:r>
      <w:r w:rsidR="0069279B" w:rsidRPr="0069279B">
        <w:rPr>
          <w:rFonts w:ascii="PT Astra Serif" w:hAnsi="PT Astra Serif"/>
          <w:sz w:val="27"/>
          <w:szCs w:val="27"/>
          <w:lang w:eastAsia="ru-RU"/>
        </w:rPr>
        <w:t xml:space="preserve">в соответствии с частью 3 статьи 156 Жилищного </w:t>
      </w:r>
      <w:hyperlink r:id="rId5" w:history="1">
        <w:proofErr w:type="gramStart"/>
        <w:r w:rsidR="0069279B" w:rsidRPr="0069279B">
          <w:rPr>
            <w:rFonts w:ascii="PT Astra Serif" w:hAnsi="PT Astra Serif"/>
            <w:sz w:val="27"/>
            <w:szCs w:val="27"/>
            <w:lang w:eastAsia="ru-RU"/>
          </w:rPr>
          <w:t>кодекс</w:t>
        </w:r>
        <w:proofErr w:type="gramEnd"/>
      </w:hyperlink>
      <w:r w:rsidR="0069279B" w:rsidRPr="0069279B">
        <w:rPr>
          <w:rFonts w:ascii="PT Astra Serif" w:hAnsi="PT Astra Serif"/>
          <w:sz w:val="27"/>
          <w:szCs w:val="27"/>
          <w:lang w:eastAsia="ru-RU"/>
        </w:rPr>
        <w:t xml:space="preserve">а Российской Федерации, статьи 15 Федерального </w:t>
      </w:r>
      <w:hyperlink r:id="rId6" w:history="1">
        <w:r w:rsidR="0069279B" w:rsidRPr="0069279B">
          <w:rPr>
            <w:rFonts w:ascii="PT Astra Serif" w:hAnsi="PT Astra Serif"/>
            <w:sz w:val="27"/>
            <w:szCs w:val="27"/>
            <w:lang w:eastAsia="ru-RU"/>
          </w:rPr>
          <w:t>закон</w:t>
        </w:r>
      </w:hyperlink>
      <w:r w:rsidR="0069279B" w:rsidRPr="0069279B">
        <w:rPr>
          <w:rFonts w:ascii="PT Astra Serif" w:hAnsi="PT Astra Serif"/>
          <w:sz w:val="27"/>
          <w:szCs w:val="27"/>
          <w:lang w:eastAsia="ru-RU"/>
        </w:rPr>
        <w:t xml:space="preserve">а от 06.10.2003 № 131-ФЗ «Об общих принципах организации местного самоуправления в Российской Федерации», </w:t>
      </w:r>
      <w:hyperlink r:id="rId7" w:history="1">
        <w:r w:rsidR="0069279B" w:rsidRPr="0069279B">
          <w:rPr>
            <w:rFonts w:ascii="PT Astra Serif" w:hAnsi="PT Astra Serif"/>
            <w:sz w:val="27"/>
            <w:szCs w:val="27"/>
            <w:lang w:eastAsia="ru-RU"/>
          </w:rPr>
          <w:t>Приказом</w:t>
        </w:r>
      </w:hyperlink>
      <w:r w:rsidR="0069279B" w:rsidRPr="0069279B">
        <w:rPr>
          <w:rFonts w:ascii="PT Astra Serif" w:hAnsi="PT Astra Serif"/>
          <w:sz w:val="27"/>
          <w:szCs w:val="27"/>
          <w:lang w:eastAsia="ru-RU"/>
        </w:rPr>
        <w:t xml:space="preserve"> Министерства </w:t>
      </w:r>
      <w:r w:rsidR="0069279B" w:rsidRPr="0069279B">
        <w:rPr>
          <w:rFonts w:ascii="PT Astra Serif" w:hAnsi="PT Astra Serif"/>
          <w:sz w:val="27"/>
          <w:szCs w:val="27"/>
          <w:lang w:eastAsia="ru-RU"/>
        </w:rPr>
        <w:lastRenderedPageBreak/>
        <w:t xml:space="preserve">строительства Российской Федерации от 27.09.2016 N 668/пр. 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 </w:t>
      </w:r>
    </w:p>
    <w:p w:rsidR="002B18C2" w:rsidRPr="0069279B" w:rsidRDefault="002B18C2" w:rsidP="0069279B">
      <w:pPr>
        <w:pStyle w:val="ConsPlusNormal"/>
        <w:ind w:firstLine="360"/>
        <w:jc w:val="both"/>
        <w:rPr>
          <w:rFonts w:ascii="PT Astra Serif" w:hAnsi="PT Astra Serif" w:cs="Times New Roman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>Проект решения в целом соответствует нормам действующего законодательства.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69279B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69279B">
        <w:rPr>
          <w:rFonts w:ascii="PT Astra Serif" w:hAnsi="PT Astra Serif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69279B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69279B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69279B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69279B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69279B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69279B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69279B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69279B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69279B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10584C"/>
    <w:rsid w:val="001E2657"/>
    <w:rsid w:val="00260E71"/>
    <w:rsid w:val="002B18C2"/>
    <w:rsid w:val="003F27D1"/>
    <w:rsid w:val="0069279B"/>
    <w:rsid w:val="006F5FC8"/>
    <w:rsid w:val="007A7ED6"/>
    <w:rsid w:val="0090483D"/>
    <w:rsid w:val="00AE006C"/>
    <w:rsid w:val="00B6228F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4E37E76C2E6315FA5BCB36530BECA4EC6BC86E908EB95120003E6F51jAq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4E37E76C2E6315FA5BCB36530BECA4EC61C2629287B95120003E6F51ABF5214D60621717C21E70jEqFG" TargetMode="External"/><Relationship Id="rId5" Type="http://schemas.openxmlformats.org/officeDocument/2006/relationships/hyperlink" Target="consultantplus://offline/ref=8A4E37E76C2E6315FA5BCB36530BECA4EC60C26E9584B95120003E6F51ABF5214D60621717C31B7DjEq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2022-02-07T10:08:00Z</cp:lastPrinted>
  <dcterms:created xsi:type="dcterms:W3CDTF">2021-03-23T08:57:00Z</dcterms:created>
  <dcterms:modified xsi:type="dcterms:W3CDTF">2022-02-07T10:09:00Z</dcterms:modified>
</cp:coreProperties>
</file>