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05551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05551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05551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05551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05551">
        <w:rPr>
          <w:rFonts w:ascii="PT Astra Serif" w:hAnsi="PT Astra Serif"/>
          <w:sz w:val="27"/>
          <w:szCs w:val="27"/>
        </w:rPr>
        <w:t>р.п</w:t>
      </w:r>
      <w:proofErr w:type="spellEnd"/>
      <w:r w:rsidRPr="00605551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05551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05551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05551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05551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605551" w:rsidRPr="00605551">
        <w:rPr>
          <w:rFonts w:ascii="PT Astra Serif" w:hAnsi="PT Astra Serif"/>
          <w:b/>
          <w:bCs/>
          <w:sz w:val="27"/>
          <w:szCs w:val="27"/>
        </w:rPr>
        <w:t>7</w:t>
      </w:r>
    </w:p>
    <w:p w:rsidR="002B18C2" w:rsidRPr="00605551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05551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05551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05551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05551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05551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05551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574D23" w:rsidRPr="00605551">
        <w:rPr>
          <w:rFonts w:ascii="PT Astra Serif" w:hAnsi="PT Astra Serif"/>
          <w:b/>
          <w:bCs/>
          <w:sz w:val="27"/>
          <w:szCs w:val="27"/>
        </w:rPr>
        <w:t xml:space="preserve"> 22</w:t>
      </w:r>
      <w:r w:rsidR="000B25FF" w:rsidRPr="00605551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605551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05551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05551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05551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05551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05551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Pr="00605551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05551" w:rsidRDefault="002B18C2" w:rsidP="00605551">
      <w:pPr>
        <w:ind w:right="-5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605551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605551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9D3A16" w:rsidRPr="00605551">
        <w:rPr>
          <w:rFonts w:ascii="PT Astra Serif" w:hAnsi="PT Astra Serif" w:cs="Times New Roman"/>
          <w:sz w:val="27"/>
          <w:szCs w:val="27"/>
        </w:rPr>
        <w:t xml:space="preserve"> </w:t>
      </w:r>
      <w:r w:rsidR="00605551" w:rsidRPr="00605551">
        <w:rPr>
          <w:rFonts w:ascii="PT Astra Serif" w:hAnsi="PT Astra Serif" w:cs="Times New Roman"/>
          <w:sz w:val="27"/>
          <w:szCs w:val="27"/>
        </w:rPr>
        <w:t>«</w:t>
      </w:r>
      <w:r w:rsidR="00605551" w:rsidRPr="00605551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605551" w:rsidRPr="00605551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целевых значений, индикативных показателей по муниципальному земельному контролю на территории муниципального образования «Новомайнское городское поселение» Мелекесского района Ульяновской области</w:t>
      </w:r>
      <w:r w:rsidR="00605551" w:rsidRPr="00605551">
        <w:rPr>
          <w:rFonts w:ascii="PT Astra Serif" w:hAnsi="PT Astra Serif" w:cs="Times New Roman"/>
          <w:color w:val="000000"/>
          <w:sz w:val="27"/>
          <w:szCs w:val="27"/>
          <w:lang w:eastAsia="en-US"/>
        </w:rPr>
        <w:t>»</w:t>
      </w:r>
      <w:r w:rsidR="00605551" w:rsidRPr="00605551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r w:rsidRPr="00605551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605551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05551">
        <w:rPr>
          <w:rFonts w:ascii="PT Astra Serif" w:hAnsi="PT Astra Serif"/>
          <w:bCs/>
          <w:sz w:val="27"/>
          <w:szCs w:val="27"/>
        </w:rPr>
        <w:t>Проект подготовлен</w:t>
      </w:r>
      <w:r w:rsidR="00F403E0" w:rsidRPr="00605551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05551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05551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05551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05551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605551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05551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05551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05551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05551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05551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05551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CF04A6" w:rsidRPr="00605551" w:rsidRDefault="002B18C2" w:rsidP="00605551">
      <w:pPr>
        <w:tabs>
          <w:tab w:val="left" w:pos="567"/>
        </w:tabs>
        <w:ind w:right="-5"/>
        <w:jc w:val="both"/>
        <w:rPr>
          <w:rFonts w:ascii="PT Astra Serif" w:hAnsi="PT Astra Serif" w:cs="Times New Roman"/>
          <w:sz w:val="27"/>
          <w:szCs w:val="27"/>
        </w:rPr>
      </w:pPr>
      <w:r w:rsidRPr="00605551">
        <w:rPr>
          <w:rFonts w:ascii="PT Astra Serif" w:hAnsi="PT Astra Serif"/>
          <w:bCs/>
          <w:sz w:val="27"/>
          <w:szCs w:val="27"/>
        </w:rPr>
        <w:tab/>
      </w:r>
      <w:r w:rsidR="00B357EE" w:rsidRPr="00605551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утвердить </w:t>
      </w:r>
      <w:r w:rsidR="000874C1" w:rsidRPr="00605551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="00904316" w:rsidRPr="00605551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605551">
        <w:rPr>
          <w:rFonts w:ascii="PT Astra Serif" w:hAnsi="PT Astra Serif" w:cs="Times New Roman"/>
          <w:sz w:val="27"/>
          <w:szCs w:val="27"/>
        </w:rPr>
        <w:t>«</w:t>
      </w:r>
      <w:r w:rsidR="00605551" w:rsidRPr="00605551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605551" w:rsidRPr="00605551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</w:t>
      </w:r>
      <w:bookmarkStart w:id="0" w:name="_GoBack"/>
      <w:bookmarkEnd w:id="0"/>
      <w:r w:rsidR="00605551" w:rsidRPr="00605551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евых значений, индикативных показателей по муниципальному земельному контролю на территории муниципального образования «Новомайнское городское поселение» Мелекесского района Ульяновской области»</w:t>
      </w:r>
      <w:r w:rsidR="00CF04A6" w:rsidRPr="00605551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. </w:t>
      </w:r>
      <w:r w:rsidRPr="00605551">
        <w:rPr>
          <w:rFonts w:ascii="PT Astra Serif" w:hAnsi="PT Astra Serif" w:cs="Times New Roman"/>
          <w:sz w:val="27"/>
          <w:szCs w:val="27"/>
        </w:rPr>
        <w:t xml:space="preserve">Проект разработан </w:t>
      </w:r>
      <w:r w:rsidR="007A7ED6" w:rsidRPr="00605551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605551">
        <w:rPr>
          <w:rFonts w:ascii="PT Astra Serif" w:hAnsi="PT Astra Serif"/>
          <w:bCs/>
          <w:sz w:val="27"/>
          <w:szCs w:val="27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Федерации».</w:t>
      </w:r>
      <w:r w:rsidR="00574D23" w:rsidRPr="00605551">
        <w:rPr>
          <w:rFonts w:ascii="PT Astra Serif" w:hAnsi="PT Astra Serif" w:cs="Times New Roman"/>
          <w:sz w:val="27"/>
          <w:szCs w:val="27"/>
        </w:rPr>
        <w:t xml:space="preserve">    </w:t>
      </w:r>
      <w:r w:rsidR="00495FC6" w:rsidRPr="00605551">
        <w:rPr>
          <w:rFonts w:ascii="PT Astra Serif" w:hAnsi="PT Astra Serif" w:cs="Times New Roman"/>
          <w:sz w:val="27"/>
          <w:szCs w:val="27"/>
        </w:rPr>
        <w:t xml:space="preserve"> </w:t>
      </w:r>
    </w:p>
    <w:p w:rsidR="002B18C2" w:rsidRPr="00605551" w:rsidRDefault="002B18C2" w:rsidP="00CF04A6">
      <w:pPr>
        <w:ind w:right="-5" w:firstLine="567"/>
        <w:jc w:val="both"/>
        <w:rPr>
          <w:rFonts w:ascii="PT Astra Serif" w:eastAsia="Calibri" w:hAnsi="PT Astra Serif" w:cs="Calibri"/>
          <w:kern w:val="1"/>
          <w:sz w:val="27"/>
          <w:szCs w:val="27"/>
          <w:lang w:eastAsia="ar-SA"/>
        </w:rPr>
      </w:pPr>
      <w:r w:rsidRPr="00605551">
        <w:rPr>
          <w:rFonts w:ascii="PT Astra Serif" w:hAnsi="PT Astra Serif" w:cs="Times New Roman"/>
          <w:sz w:val="27"/>
          <w:szCs w:val="27"/>
        </w:rPr>
        <w:t>Проект решения в целом соответствует нормам действующего законодательства.</w:t>
      </w:r>
    </w:p>
    <w:p w:rsidR="002B18C2" w:rsidRPr="00605551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05551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lastRenderedPageBreak/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05551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05551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05551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05551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05551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05551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05551">
        <w:rPr>
          <w:rFonts w:ascii="PT Astra Serif" w:hAnsi="PT Astra Serif"/>
          <w:sz w:val="27"/>
          <w:szCs w:val="27"/>
        </w:rPr>
        <w:t>.</w:t>
      </w:r>
    </w:p>
    <w:p w:rsidR="002B18C2" w:rsidRPr="00605551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05551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05551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05551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05551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05551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05551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05551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05551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05551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05551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05551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05551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05551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05551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05551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05551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05551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05551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05551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05551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05551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05551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574D23"/>
    <w:rsid w:val="00605551"/>
    <w:rsid w:val="006736F8"/>
    <w:rsid w:val="0069279B"/>
    <w:rsid w:val="006F5FC8"/>
    <w:rsid w:val="007A7ED6"/>
    <w:rsid w:val="00904316"/>
    <w:rsid w:val="0090483D"/>
    <w:rsid w:val="009D3A16"/>
    <w:rsid w:val="00AE006C"/>
    <w:rsid w:val="00B357EE"/>
    <w:rsid w:val="00B6228F"/>
    <w:rsid w:val="00CF04A6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2022-02-22T07:59:00Z</cp:lastPrinted>
  <dcterms:created xsi:type="dcterms:W3CDTF">2021-03-23T08:57:00Z</dcterms:created>
  <dcterms:modified xsi:type="dcterms:W3CDTF">2022-02-22T07:59:00Z</dcterms:modified>
</cp:coreProperties>
</file>